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85B9" w14:textId="77777777" w:rsidR="009B6418" w:rsidRPr="00C432D4" w:rsidRDefault="009B6418" w:rsidP="009B6418">
      <w:pPr>
        <w:shd w:val="clear" w:color="auto" w:fill="FFFFFF"/>
        <w:spacing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909291"/>
          <w:spacing w:val="-7"/>
          <w:sz w:val="36"/>
          <w:szCs w:val="36"/>
        </w:rPr>
      </w:pPr>
      <w:proofErr w:type="spellStart"/>
      <w:r>
        <w:rPr>
          <w:rFonts w:ascii="Lato" w:eastAsia="Times New Roman" w:hAnsi="Lato" w:cs="Times New Roman"/>
          <w:b/>
          <w:bCs/>
          <w:color w:val="909291"/>
          <w:spacing w:val="-7"/>
          <w:sz w:val="36"/>
          <w:szCs w:val="36"/>
        </w:rPr>
        <w:t>StellaLife</w:t>
      </w:r>
      <w:proofErr w:type="spellEnd"/>
      <w:r>
        <w:rPr>
          <w:rFonts w:ascii="Lato" w:eastAsia="Times New Roman" w:hAnsi="Lato" w:cs="Times New Roman"/>
          <w:b/>
          <w:bCs/>
          <w:color w:val="909291"/>
          <w:spacing w:val="-7"/>
          <w:sz w:val="36"/>
          <w:szCs w:val="36"/>
        </w:rPr>
        <w:t xml:space="preserve"> Oral rinse</w:t>
      </w:r>
    </w:p>
    <w:p w14:paraId="2A08BBE3" w14:textId="77777777" w:rsidR="009B6418" w:rsidRPr="00C432D4" w:rsidRDefault="009B6418" w:rsidP="009B6418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  <w:r w:rsidRPr="00C432D4">
        <w:rPr>
          <w:rFonts w:ascii="Lato" w:eastAsia="Times New Roman" w:hAnsi="Lato" w:cs="Times New Roman"/>
          <w:b/>
          <w:bCs/>
          <w:color w:val="495057"/>
          <w:sz w:val="24"/>
          <w:szCs w:val="24"/>
        </w:rPr>
        <w:t>USES</w:t>
      </w:r>
    </w:p>
    <w:p w14:paraId="2C1CB75A" w14:textId="77777777" w:rsidR="009B6418" w:rsidRPr="00C432D4" w:rsidRDefault="009B6418" w:rsidP="009B6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Antimicrobial*</w:t>
      </w:r>
    </w:p>
    <w:p w14:paraId="64B2C0E6" w14:textId="77777777" w:rsidR="009B6418" w:rsidRPr="00C432D4" w:rsidRDefault="009B6418" w:rsidP="009B6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 xml:space="preserve">Hydrates oral </w:t>
      </w:r>
      <w:proofErr w:type="gramStart"/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cavity.*</w:t>
      </w:r>
      <w:proofErr w:type="gramEnd"/>
    </w:p>
    <w:p w14:paraId="389F2327" w14:textId="77777777" w:rsidR="009B6418" w:rsidRPr="00C432D4" w:rsidRDefault="009B6418" w:rsidP="009B6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 xml:space="preserve">Maintains oral </w:t>
      </w:r>
      <w:proofErr w:type="gramStart"/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health.*</w:t>
      </w:r>
      <w:proofErr w:type="gramEnd"/>
    </w:p>
    <w:p w14:paraId="4C1462B6" w14:textId="77777777" w:rsidR="009B6418" w:rsidRPr="00C432D4" w:rsidRDefault="009B6418" w:rsidP="009B6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 xml:space="preserve">Promotes healthy </w:t>
      </w:r>
      <w:proofErr w:type="gramStart"/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gums.*</w:t>
      </w:r>
      <w:proofErr w:type="gramEnd"/>
    </w:p>
    <w:p w14:paraId="451BCE43" w14:textId="77777777" w:rsidR="009B6418" w:rsidRPr="00C432D4" w:rsidRDefault="009B6418" w:rsidP="009B6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 xml:space="preserve">Freshens </w:t>
      </w:r>
      <w:proofErr w:type="gramStart"/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breath.*</w:t>
      </w:r>
      <w:proofErr w:type="gramEnd"/>
    </w:p>
    <w:p w14:paraId="56C4BAA1" w14:textId="77777777" w:rsidR="009B6418" w:rsidRPr="00C432D4" w:rsidRDefault="009B6418" w:rsidP="009B6418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  <w:r w:rsidRPr="00C432D4">
        <w:rPr>
          <w:rFonts w:ascii="Lato" w:eastAsia="Times New Roman" w:hAnsi="Lato" w:cs="Times New Roman"/>
          <w:b/>
          <w:bCs/>
          <w:color w:val="495057"/>
          <w:sz w:val="24"/>
          <w:szCs w:val="24"/>
        </w:rPr>
        <w:t>DIRECTIONS</w:t>
      </w: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:</w:t>
      </w:r>
      <w:r>
        <w:rPr>
          <w:rFonts w:ascii="Lato" w:eastAsia="Times New Roman" w:hAnsi="Lato" w:cs="Times New Roman"/>
          <w:color w:val="495057"/>
          <w:sz w:val="24"/>
          <w:szCs w:val="24"/>
        </w:rPr>
        <w:t xml:space="preserve">  </w:t>
      </w: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Adults and children over the age of 6 years:</w:t>
      </w:r>
    </w:p>
    <w:p w14:paraId="5438879B" w14:textId="77777777" w:rsidR="009B6418" w:rsidRPr="00C432D4" w:rsidRDefault="009B6418" w:rsidP="009B6418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495057"/>
          <w:sz w:val="24"/>
          <w:szCs w:val="24"/>
        </w:rPr>
      </w:pPr>
      <w:r w:rsidRPr="00C432D4">
        <w:rPr>
          <w:rFonts w:ascii="Lato" w:eastAsia="Times New Roman" w:hAnsi="Lato" w:cs="Times New Roman"/>
          <w:color w:val="495057"/>
          <w:sz w:val="24"/>
          <w:szCs w:val="24"/>
        </w:rPr>
        <w:t>Shake well. Use 3/4 Tablespoonful (10 ml) per application 3 times a day. Swish in the mouth for 1-2 minutes and then spit out. Do not swallow. Refrain from eating or drinking for at least 20 minutes after use. Consult your healthcare professional for use in children under 6 years of age.</w:t>
      </w:r>
    </w:p>
    <w:p w14:paraId="2A903C3F" w14:textId="77777777" w:rsidR="00D20C85" w:rsidRDefault="00D20C85"/>
    <w:sectPr w:rsidR="00D2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798F"/>
    <w:multiLevelType w:val="multilevel"/>
    <w:tmpl w:val="67F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83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18"/>
    <w:rsid w:val="009B6418"/>
    <w:rsid w:val="00D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8083"/>
  <w15:chartTrackingRefBased/>
  <w15:docId w15:val="{33A3F890-2E25-40E8-87D4-AB795E6C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1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Sanderson</dc:creator>
  <cp:keywords/>
  <dc:description/>
  <cp:lastModifiedBy>Joel Sanderson</cp:lastModifiedBy>
  <cp:revision>1</cp:revision>
  <dcterms:created xsi:type="dcterms:W3CDTF">2023-07-06T17:26:00Z</dcterms:created>
  <dcterms:modified xsi:type="dcterms:W3CDTF">2023-07-06T17:26:00Z</dcterms:modified>
</cp:coreProperties>
</file>